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仿宋" w:hAnsi="仿宋" w:eastAsia="仿宋"/>
          <w:b/>
          <w:sz w:val="30"/>
          <w:szCs w:val="30"/>
        </w:rPr>
      </w:pPr>
      <w:r>
        <w:rPr>
          <w:rFonts w:hint="eastAsia" w:ascii="仿宋" w:hAnsi="仿宋" w:eastAsia="仿宋"/>
          <w:b/>
          <w:sz w:val="30"/>
          <w:szCs w:val="30"/>
        </w:rPr>
        <w:t>同济大学</w:t>
      </w:r>
      <w:r>
        <w:rPr>
          <w:rFonts w:hint="eastAsia" w:ascii="仿宋" w:hAnsi="仿宋" w:eastAsia="仿宋"/>
          <w:b/>
          <w:sz w:val="30"/>
          <w:szCs w:val="30"/>
          <w:lang w:eastAsia="zh-CN"/>
        </w:rPr>
        <w:t>机械与能源工程</w:t>
      </w:r>
      <w:r>
        <w:rPr>
          <w:rFonts w:hint="eastAsia" w:ascii="仿宋" w:hAnsi="仿宋" w:eastAsia="仿宋"/>
          <w:b/>
          <w:sz w:val="30"/>
          <w:szCs w:val="30"/>
        </w:rPr>
        <w:t>学院2018年博士研究生招生考试复试安排</w:t>
      </w:r>
    </w:p>
    <w:p>
      <w:pPr>
        <w:spacing w:line="276" w:lineRule="auto"/>
        <w:jc w:val="center"/>
        <w:rPr>
          <w:rFonts w:hint="eastAsia" w:ascii="仿宋" w:hAnsi="仿宋" w:eastAsia="仿宋"/>
          <w:b/>
          <w:sz w:val="30"/>
          <w:szCs w:val="30"/>
        </w:rPr>
      </w:pP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材料审核成绩要求：</w:t>
      </w:r>
    </w:p>
    <w:p>
      <w:pPr>
        <w:ind w:firstLine="560" w:firstLineChars="200"/>
        <w:rPr>
          <w:rFonts w:hint="eastAsia" w:ascii="仿宋" w:hAnsi="仿宋" w:eastAsia="仿宋"/>
          <w:b w:val="0"/>
          <w:bCs/>
          <w:sz w:val="28"/>
          <w:szCs w:val="28"/>
          <w:lang w:val="de-AT" w:eastAsia="zh-CN"/>
        </w:rPr>
      </w:pPr>
      <w:r>
        <w:rPr>
          <w:rFonts w:hint="eastAsia" w:ascii="仿宋" w:hAnsi="仿宋" w:eastAsia="仿宋"/>
          <w:b w:val="0"/>
          <w:bCs/>
          <w:sz w:val="28"/>
          <w:szCs w:val="28"/>
          <w:lang w:val="de-AT" w:eastAsia="zh-CN"/>
        </w:rPr>
        <w:t>材料审核成绩以及复试名单详见“同济大学研究生招生网”，递补的考生将电话或邮件联系，请保持电话畅通或系统所填邮箱有效。</w:t>
      </w:r>
    </w:p>
    <w:tbl>
      <w:tblPr>
        <w:tblStyle w:val="10"/>
        <w:tblW w:w="972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1834"/>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4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专业</w:t>
            </w:r>
            <w:r>
              <w:rPr>
                <w:rFonts w:hint="eastAsia" w:ascii="仿宋" w:hAnsi="仿宋" w:eastAsia="仿宋" w:cs="仿宋"/>
                <w:b/>
                <w:bCs/>
                <w:sz w:val="24"/>
                <w:szCs w:val="24"/>
                <w:lang w:eastAsia="zh-CN"/>
              </w:rPr>
              <w:t>名称</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材料审核成绩</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机械工程</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30-45分为候补，如有复试学生放弃，则按照分数从高往低递补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工业工程</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热能</w:t>
            </w:r>
            <w:r>
              <w:rPr>
                <w:rFonts w:hint="eastAsia" w:ascii="仿宋" w:hAnsi="仿宋" w:eastAsia="仿宋" w:cs="仿宋"/>
                <w:sz w:val="24"/>
                <w:szCs w:val="24"/>
              </w:rPr>
              <w:t>工程</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≥58</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没有候补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供热、供燃气、通风及空调工程</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≥58</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lang w:val="en-US" w:eastAsia="zh-CN"/>
              </w:rPr>
            </w:pPr>
          </w:p>
        </w:tc>
      </w:tr>
    </w:tbl>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复试所需材料：</w:t>
      </w:r>
    </w:p>
    <w:p>
      <w:pPr>
        <w:spacing w:line="276" w:lineRule="auto"/>
        <w:ind w:firstLine="560" w:firstLineChars="200"/>
        <w:rPr>
          <w:rFonts w:ascii="仿宋" w:hAnsi="仿宋" w:eastAsia="仿宋"/>
          <w:sz w:val="28"/>
          <w:szCs w:val="28"/>
          <w:lang w:val="de-AT"/>
        </w:rPr>
      </w:pPr>
      <w:r>
        <w:rPr>
          <w:rFonts w:hint="eastAsia" w:ascii="仿宋" w:hAnsi="仿宋" w:eastAsia="仿宋"/>
          <w:sz w:val="28"/>
          <w:szCs w:val="28"/>
          <w:lang w:val="de-AT"/>
        </w:rPr>
        <w:t>准考证、身份证和</w:t>
      </w:r>
      <w:r>
        <w:rPr>
          <w:rFonts w:hint="eastAsia" w:ascii="仿宋" w:hAnsi="仿宋" w:eastAsia="仿宋"/>
          <w:sz w:val="28"/>
          <w:szCs w:val="28"/>
          <w:lang w:val="de-AT" w:eastAsia="zh-CN"/>
        </w:rPr>
        <w:t>《机械与能源工程学院2018年“申请-考核”制博士生招生实施办法》中所需报名材料</w:t>
      </w:r>
      <w:r>
        <w:rPr>
          <w:rFonts w:hint="eastAsia" w:ascii="仿宋" w:hAnsi="仿宋" w:eastAsia="仿宋"/>
          <w:sz w:val="28"/>
          <w:szCs w:val="28"/>
          <w:lang w:val="en-US" w:eastAsia="zh-CN"/>
        </w:rPr>
        <w:t>1-9项（含原件），如有其他补充材料也可携带（已提交的报名材料可到开物馆A208领取），纸质材料领取后在面试环节交面试小组。</w:t>
      </w:r>
    </w:p>
    <w:p>
      <w:pPr>
        <w:pStyle w:val="13"/>
        <w:numPr>
          <w:ilvl w:val="0"/>
          <w:numId w:val="1"/>
        </w:numPr>
        <w:spacing w:line="276" w:lineRule="auto"/>
        <w:ind w:firstLineChars="0"/>
        <w:rPr>
          <w:rFonts w:ascii="仿宋" w:hAnsi="仿宋" w:eastAsia="仿宋"/>
          <w:sz w:val="28"/>
          <w:szCs w:val="28"/>
        </w:rPr>
      </w:pPr>
      <w:r>
        <w:rPr>
          <w:rFonts w:hint="eastAsia" w:ascii="仿宋" w:hAnsi="仿宋" w:eastAsia="仿宋"/>
          <w:b/>
          <w:sz w:val="28"/>
          <w:szCs w:val="28"/>
        </w:rPr>
        <w:t>复试时间地点：</w:t>
      </w:r>
      <w:r>
        <w:rPr>
          <w:rFonts w:hint="eastAsia" w:ascii="仿宋" w:hAnsi="仿宋" w:eastAsia="仿宋"/>
          <w:b/>
          <w:sz w:val="28"/>
          <w:szCs w:val="28"/>
          <w:lang w:val="en-US" w:eastAsia="zh-CN"/>
        </w:rPr>
        <w:t>2018年3月10日全天，具体见表格</w:t>
      </w:r>
    </w:p>
    <w:tbl>
      <w:tblPr>
        <w:tblStyle w:val="10"/>
        <w:tblW w:w="975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841"/>
        <w:gridCol w:w="1671"/>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2854"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专业</w:t>
            </w:r>
            <w:r>
              <w:rPr>
                <w:rFonts w:hint="eastAsia" w:ascii="仿宋" w:hAnsi="仿宋" w:eastAsia="仿宋" w:cs="仿宋"/>
                <w:b/>
                <w:bCs/>
                <w:sz w:val="24"/>
                <w:szCs w:val="24"/>
                <w:lang w:eastAsia="zh-CN"/>
              </w:rPr>
              <w:t>名称及专业代码</w:t>
            </w:r>
          </w:p>
        </w:tc>
        <w:tc>
          <w:tcPr>
            <w:tcW w:w="3512" w:type="dxa"/>
            <w:gridSpan w:val="2"/>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笔试</w:t>
            </w:r>
          </w:p>
        </w:tc>
        <w:tc>
          <w:tcPr>
            <w:tcW w:w="3388"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854"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机械工程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080200）</w:t>
            </w:r>
          </w:p>
        </w:tc>
        <w:tc>
          <w:tcPr>
            <w:tcW w:w="1841" w:type="dxa"/>
            <w:vMerge w:val="restart"/>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r>
              <w:rPr>
                <w:rFonts w:hint="eastAsia" w:ascii="仿宋" w:hAnsi="仿宋" w:eastAsia="仿宋" w:cs="仿宋"/>
                <w:sz w:val="24"/>
                <w:szCs w:val="24"/>
                <w:lang w:val="en-US" w:eastAsia="zh-CN"/>
              </w:rPr>
              <w:t>11</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r>
              <w:rPr>
                <w:rFonts w:hint="eastAsia" w:ascii="仿宋" w:hAnsi="仿宋" w:eastAsia="仿宋" w:cs="仿宋"/>
                <w:sz w:val="24"/>
                <w:szCs w:val="24"/>
                <w:lang w:eastAsia="zh-CN"/>
              </w:rPr>
              <w:t>（请提前</w:t>
            </w:r>
            <w:r>
              <w:rPr>
                <w:rFonts w:hint="eastAsia" w:ascii="仿宋" w:hAnsi="仿宋" w:eastAsia="仿宋" w:cs="仿宋"/>
                <w:sz w:val="24"/>
                <w:szCs w:val="24"/>
                <w:lang w:val="en-US" w:eastAsia="zh-CN"/>
              </w:rPr>
              <w:t>10分钟到达</w:t>
            </w:r>
            <w:r>
              <w:rPr>
                <w:rFonts w:hint="eastAsia" w:ascii="仿宋" w:hAnsi="仿宋" w:eastAsia="仿宋" w:cs="仿宋"/>
                <w:sz w:val="24"/>
                <w:szCs w:val="24"/>
                <w:lang w:eastAsia="zh-CN"/>
              </w:rPr>
              <w:t>）</w:t>
            </w:r>
          </w:p>
        </w:tc>
        <w:tc>
          <w:tcPr>
            <w:tcW w:w="1671" w:type="dxa"/>
            <w:vMerge w:val="restart"/>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嘉定校区</w:t>
            </w:r>
          </w:p>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开物馆A310</w:t>
            </w:r>
          </w:p>
        </w:tc>
        <w:tc>
          <w:tcPr>
            <w:tcW w:w="3388" w:type="dxa"/>
            <w:vMerge w:val="restart"/>
            <w:tcBorders/>
            <w:vAlign w:val="center"/>
          </w:tcPr>
          <w:p>
            <w:pPr>
              <w:keepNext w:val="0"/>
              <w:keepLines w:val="0"/>
              <w:pageBreakBefore w:val="0"/>
              <w:kinsoku/>
              <w:overflowPunct/>
              <w:topLinePunct w:val="0"/>
              <w:bidi w:val="0"/>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13：</w:t>
            </w:r>
            <w:r>
              <w:rPr>
                <w:rFonts w:hint="eastAsia" w:ascii="仿宋" w:hAnsi="仿宋" w:eastAsia="仿宋" w:cs="仿宋"/>
                <w:sz w:val="24"/>
                <w:szCs w:val="24"/>
                <w:lang w:val="en-US" w:eastAsia="zh-CN"/>
              </w:rPr>
              <w:t>0</w:t>
            </w:r>
            <w:r>
              <w:rPr>
                <w:rFonts w:hint="eastAsia" w:ascii="仿宋" w:hAnsi="仿宋" w:eastAsia="仿宋" w:cs="仿宋"/>
                <w:sz w:val="24"/>
                <w:szCs w:val="24"/>
              </w:rPr>
              <w:t>0--开物馆</w:t>
            </w:r>
          </w:p>
          <w:p>
            <w:pPr>
              <w:keepNext w:val="0"/>
              <w:keepLines w:val="0"/>
              <w:pageBreakBefore w:val="0"/>
              <w:kinsoku/>
              <w:overflowPunct/>
              <w:topLinePunct w:val="0"/>
              <w:bidi w:val="0"/>
              <w:spacing w:line="360" w:lineRule="auto"/>
              <w:jc w:val="left"/>
              <w:textAlignment w:val="auto"/>
              <w:outlineLvl w:val="9"/>
              <w:rPr>
                <w:rFonts w:hint="eastAsia" w:ascii="仿宋" w:hAnsi="仿宋" w:eastAsia="仿宋" w:cs="仿宋"/>
                <w:sz w:val="24"/>
                <w:szCs w:val="24"/>
                <w:lang w:eastAsia="zh-CN"/>
              </w:rPr>
            </w:pPr>
            <w:r>
              <w:rPr>
                <w:rFonts w:hint="eastAsia" w:ascii="仿宋" w:hAnsi="仿宋" w:eastAsia="仿宋"/>
                <w:sz w:val="24"/>
                <w:szCs w:val="24"/>
                <w:lang w:val="de-AT"/>
              </w:rPr>
              <w:t>具体面试地点，复试当天</w:t>
            </w:r>
            <w:r>
              <w:rPr>
                <w:rFonts w:hint="eastAsia" w:ascii="仿宋" w:hAnsi="仿宋" w:eastAsia="仿宋"/>
                <w:sz w:val="24"/>
                <w:szCs w:val="24"/>
                <w:lang w:val="de-AT" w:eastAsia="zh-CN"/>
              </w:rPr>
              <w:t>见机械与能源工程</w:t>
            </w:r>
            <w:r>
              <w:rPr>
                <w:rFonts w:hint="eastAsia" w:ascii="仿宋" w:hAnsi="仿宋" w:eastAsia="仿宋"/>
                <w:sz w:val="24"/>
                <w:szCs w:val="24"/>
                <w:lang w:val="de-AT"/>
              </w:rPr>
              <w:t>学院大楼一楼</w:t>
            </w:r>
            <w:r>
              <w:rPr>
                <w:rFonts w:hint="eastAsia" w:ascii="仿宋" w:hAnsi="仿宋" w:eastAsia="仿宋"/>
                <w:sz w:val="24"/>
                <w:szCs w:val="24"/>
                <w:lang w:val="de-AT" w:eastAsia="zh-CN"/>
              </w:rPr>
              <w:t>进门右边</w:t>
            </w:r>
            <w:r>
              <w:rPr>
                <w:rFonts w:hint="eastAsia" w:ascii="仿宋" w:hAnsi="仿宋" w:eastAsia="仿宋"/>
                <w:sz w:val="24"/>
                <w:szCs w:val="24"/>
                <w:lang w:val="de-AT"/>
              </w:rPr>
              <w:t>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854"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工业工程（</w:t>
            </w:r>
            <w:r>
              <w:rPr>
                <w:rFonts w:hint="eastAsia" w:ascii="仿宋" w:hAnsi="仿宋" w:eastAsia="仿宋" w:cs="仿宋"/>
                <w:sz w:val="24"/>
                <w:szCs w:val="24"/>
                <w:lang w:val="en-US" w:eastAsia="zh-CN"/>
              </w:rPr>
              <w:t>0802Z1</w:t>
            </w:r>
            <w:r>
              <w:rPr>
                <w:rFonts w:hint="eastAsia" w:ascii="仿宋" w:hAnsi="仿宋" w:eastAsia="仿宋" w:cs="仿宋"/>
                <w:sz w:val="24"/>
                <w:szCs w:val="24"/>
                <w:lang w:eastAsia="zh-CN"/>
              </w:rPr>
              <w:t>）</w:t>
            </w:r>
          </w:p>
        </w:tc>
        <w:tc>
          <w:tcPr>
            <w:tcW w:w="184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167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3388" w:type="dxa"/>
            <w:vMerge w:val="continue"/>
            <w:tcBorders/>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854"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热能工程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080702</w:t>
            </w:r>
            <w:r>
              <w:rPr>
                <w:rFonts w:hint="eastAsia" w:ascii="仿宋" w:hAnsi="仿宋" w:eastAsia="仿宋" w:cs="仿宋"/>
                <w:sz w:val="24"/>
                <w:szCs w:val="24"/>
                <w:lang w:eastAsia="zh-CN"/>
              </w:rPr>
              <w:t>）</w:t>
            </w:r>
          </w:p>
        </w:tc>
        <w:tc>
          <w:tcPr>
            <w:tcW w:w="184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167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3388" w:type="dxa"/>
            <w:vMerge w:val="continue"/>
            <w:tcBorders/>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854" w:type="dxa"/>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供热、供燃气、通风及空调工程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081404）</w:t>
            </w:r>
          </w:p>
        </w:tc>
        <w:tc>
          <w:tcPr>
            <w:tcW w:w="184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1671" w:type="dxa"/>
            <w:vMerge w:val="continue"/>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rPr>
            </w:pPr>
          </w:p>
        </w:tc>
        <w:tc>
          <w:tcPr>
            <w:tcW w:w="3388" w:type="dxa"/>
            <w:vMerge w:val="continue"/>
            <w:tcBorders/>
            <w:vAlign w:val="center"/>
          </w:tcPr>
          <w:p>
            <w:pPr>
              <w:keepNext w:val="0"/>
              <w:keepLines w:val="0"/>
              <w:pageBreakBefore w:val="0"/>
              <w:kinsoku/>
              <w:overflowPunct/>
              <w:topLinePunct w:val="0"/>
              <w:bidi w:val="0"/>
              <w:spacing w:line="360" w:lineRule="auto"/>
              <w:jc w:val="center"/>
              <w:textAlignment w:val="auto"/>
              <w:outlineLvl w:val="9"/>
              <w:rPr>
                <w:rFonts w:hint="eastAsia" w:ascii="仿宋" w:hAnsi="仿宋" w:eastAsia="仿宋" w:cs="仿宋"/>
                <w:sz w:val="24"/>
                <w:szCs w:val="24"/>
                <w:lang w:eastAsia="zh-CN"/>
              </w:rPr>
            </w:pPr>
          </w:p>
        </w:tc>
      </w:tr>
    </w:tbl>
    <w:p>
      <w:pPr>
        <w:spacing w:line="276" w:lineRule="auto"/>
        <w:ind w:firstLine="562" w:firstLineChars="200"/>
        <w:rPr>
          <w:rFonts w:ascii="仿宋" w:hAnsi="仿宋" w:eastAsia="仿宋"/>
          <w:color w:val="FF0000"/>
          <w:sz w:val="28"/>
          <w:szCs w:val="28"/>
        </w:rPr>
      </w:pPr>
      <w:r>
        <w:rPr>
          <w:rFonts w:hint="eastAsia" w:ascii="仿宋" w:hAnsi="仿宋" w:eastAsia="仿宋"/>
          <w:b/>
          <w:color w:val="FF0000"/>
          <w:sz w:val="28"/>
          <w:szCs w:val="28"/>
        </w:rPr>
        <w:t>请进入复试的考生严格按照上述时间地点参加复试，逾期视为自动放弃！</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复试主要内容：</w:t>
      </w:r>
    </w:p>
    <w:p>
      <w:pPr>
        <w:spacing w:line="276"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复试内容包括专业课（笔试，满分为100分）和综合考核（满分为200分）。综合考核的形式和成绩分布如下：</w:t>
      </w:r>
    </w:p>
    <w:p>
      <w:pPr>
        <w:spacing w:line="276"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1）专业外语（一般为笔试），满分为50分；</w:t>
      </w:r>
    </w:p>
    <w:p>
      <w:pPr>
        <w:spacing w:line="276"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2）外语听力和口语（口试），满分为50分；</w:t>
      </w:r>
    </w:p>
    <w:p>
      <w:pPr>
        <w:spacing w:line="276"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3）专业综合（形式为口试或口试与笔试结合），满分为100分。</w:t>
      </w:r>
    </w:p>
    <w:p>
      <w:pPr>
        <w:pStyle w:val="13"/>
        <w:numPr>
          <w:ilvl w:val="0"/>
          <w:numId w:val="1"/>
        </w:numPr>
        <w:spacing w:line="276" w:lineRule="auto"/>
        <w:ind w:firstLineChars="0"/>
        <w:rPr>
          <w:rFonts w:ascii="仿宋" w:hAnsi="仿宋" w:eastAsia="仿宋"/>
          <w:sz w:val="28"/>
          <w:szCs w:val="28"/>
        </w:rPr>
      </w:pPr>
      <w:r>
        <w:rPr>
          <w:rFonts w:hint="eastAsia" w:ascii="仿宋" w:hAnsi="仿宋" w:eastAsia="仿宋"/>
          <w:b/>
          <w:sz w:val="28"/>
          <w:szCs w:val="28"/>
        </w:rPr>
        <w:t>复试结果公布：</w:t>
      </w:r>
    </w:p>
    <w:p>
      <w:pPr>
        <w:spacing w:line="276" w:lineRule="auto"/>
        <w:ind w:firstLine="560" w:firstLineChars="200"/>
        <w:rPr>
          <w:rFonts w:hint="eastAsia" w:ascii="仿宋" w:hAnsi="仿宋" w:eastAsia="仿宋"/>
          <w:sz w:val="28"/>
          <w:szCs w:val="28"/>
        </w:rPr>
      </w:pPr>
      <w:r>
        <w:rPr>
          <w:rFonts w:hint="eastAsia" w:ascii="仿宋" w:hAnsi="仿宋" w:eastAsia="仿宋"/>
          <w:sz w:val="28"/>
          <w:szCs w:val="28"/>
        </w:rPr>
        <w:t>以考生的总成绩作为拟录取依据。总成绩=</w:t>
      </w:r>
      <w:r>
        <w:rPr>
          <w:rFonts w:hint="eastAsia" w:ascii="仿宋" w:hAnsi="仿宋" w:eastAsia="仿宋"/>
          <w:sz w:val="28"/>
          <w:szCs w:val="28"/>
          <w:lang w:eastAsia="zh-CN"/>
        </w:rPr>
        <w:t>材料审核</w:t>
      </w:r>
      <w:r>
        <w:rPr>
          <w:rFonts w:hint="eastAsia" w:ascii="仿宋" w:hAnsi="仿宋" w:eastAsia="仿宋"/>
          <w:sz w:val="28"/>
          <w:szCs w:val="28"/>
        </w:rPr>
        <w:t>成绩（满分</w:t>
      </w:r>
      <w:r>
        <w:rPr>
          <w:rFonts w:hint="eastAsia" w:ascii="仿宋" w:hAnsi="仿宋" w:eastAsia="仿宋"/>
          <w:sz w:val="28"/>
          <w:szCs w:val="28"/>
          <w:lang w:val="en-US" w:eastAsia="zh-CN"/>
        </w:rPr>
        <w:t>1</w:t>
      </w:r>
      <w:r>
        <w:rPr>
          <w:rFonts w:hint="eastAsia" w:ascii="仿宋" w:hAnsi="仿宋" w:eastAsia="仿宋"/>
          <w:sz w:val="28"/>
          <w:szCs w:val="28"/>
        </w:rPr>
        <w:t>00分）+复试时的专业课成绩（满分100分）+综合</w:t>
      </w:r>
      <w:r>
        <w:rPr>
          <w:rFonts w:hint="eastAsia" w:ascii="仿宋" w:hAnsi="仿宋" w:eastAsia="仿宋"/>
          <w:sz w:val="28"/>
          <w:szCs w:val="28"/>
          <w:lang w:eastAsia="zh-CN"/>
        </w:rPr>
        <w:t>考核</w:t>
      </w:r>
      <w:r>
        <w:rPr>
          <w:rFonts w:hint="eastAsia" w:ascii="仿宋" w:hAnsi="仿宋" w:eastAsia="仿宋"/>
          <w:sz w:val="28"/>
          <w:szCs w:val="28"/>
        </w:rPr>
        <w:t>成绩（满分</w:t>
      </w:r>
      <w:r>
        <w:rPr>
          <w:rFonts w:hint="eastAsia" w:ascii="仿宋" w:hAnsi="仿宋" w:eastAsia="仿宋"/>
          <w:sz w:val="28"/>
          <w:szCs w:val="28"/>
          <w:lang w:val="en-US" w:eastAsia="zh-CN"/>
        </w:rPr>
        <w:t>2</w:t>
      </w:r>
      <w:r>
        <w:rPr>
          <w:rFonts w:hint="eastAsia" w:ascii="仿宋" w:hAnsi="仿宋" w:eastAsia="仿宋"/>
          <w:sz w:val="28"/>
          <w:szCs w:val="28"/>
        </w:rPr>
        <w:t>00）。</w:t>
      </w:r>
    </w:p>
    <w:p>
      <w:pPr>
        <w:spacing w:line="276" w:lineRule="auto"/>
        <w:ind w:firstLine="560" w:firstLineChars="200"/>
        <w:rPr>
          <w:rFonts w:hint="eastAsia" w:ascii="仿宋" w:hAnsi="仿宋" w:eastAsia="仿宋"/>
          <w:sz w:val="28"/>
          <w:szCs w:val="28"/>
        </w:rPr>
      </w:pPr>
      <w:r>
        <w:rPr>
          <w:rFonts w:hint="eastAsia" w:ascii="仿宋" w:hAnsi="仿宋" w:eastAsia="仿宋"/>
          <w:sz w:val="28"/>
          <w:szCs w:val="28"/>
        </w:rPr>
        <w:t>复试结束后我院</w:t>
      </w:r>
      <w:r>
        <w:rPr>
          <w:rFonts w:hint="eastAsia" w:ascii="仿宋" w:hAnsi="仿宋" w:eastAsia="仿宋"/>
          <w:sz w:val="28"/>
          <w:szCs w:val="28"/>
          <w:lang w:eastAsia="zh-CN"/>
        </w:rPr>
        <w:t>将在</w:t>
      </w:r>
      <w:r>
        <w:rPr>
          <w:rFonts w:hint="eastAsia" w:ascii="仿宋" w:hAnsi="仿宋" w:eastAsia="仿宋"/>
          <w:sz w:val="28"/>
          <w:szCs w:val="28"/>
        </w:rPr>
        <w:t>官网（网址：http://mefaculty.tongji.edu.cn/）和“</w:t>
      </w:r>
      <w:r>
        <w:rPr>
          <w:rFonts w:hint="eastAsia" w:ascii="仿宋" w:hAnsi="仿宋" w:eastAsia="仿宋"/>
          <w:sz w:val="28"/>
          <w:szCs w:val="28"/>
          <w:lang w:eastAsia="zh-CN"/>
        </w:rPr>
        <w:t>同济机能</w:t>
      </w:r>
      <w:r>
        <w:rPr>
          <w:rFonts w:hint="eastAsia" w:ascii="仿宋" w:hAnsi="仿宋" w:eastAsia="仿宋"/>
          <w:sz w:val="28"/>
          <w:szCs w:val="28"/>
        </w:rPr>
        <w:t>研究生教务”公众号中公布所有参加复试考生的</w:t>
      </w:r>
      <w:r>
        <w:rPr>
          <w:rFonts w:hint="eastAsia" w:ascii="仿宋" w:hAnsi="仿宋" w:eastAsia="仿宋"/>
          <w:sz w:val="28"/>
          <w:szCs w:val="28"/>
          <w:lang w:eastAsia="zh-CN"/>
        </w:rPr>
        <w:t>材料审核</w:t>
      </w:r>
      <w:r>
        <w:rPr>
          <w:rFonts w:hint="eastAsia" w:ascii="仿宋" w:hAnsi="仿宋" w:eastAsia="仿宋"/>
          <w:sz w:val="28"/>
          <w:szCs w:val="28"/>
        </w:rPr>
        <w:t>成绩、复试成绩、总成绩（</w:t>
      </w:r>
      <w:r>
        <w:rPr>
          <w:rFonts w:hint="eastAsia" w:ascii="仿宋" w:hAnsi="仿宋" w:eastAsia="仿宋"/>
          <w:sz w:val="28"/>
          <w:szCs w:val="28"/>
          <w:lang w:eastAsia="zh-CN"/>
        </w:rPr>
        <w:t>材料审核</w:t>
      </w:r>
      <w:r>
        <w:rPr>
          <w:rFonts w:hint="eastAsia" w:ascii="仿宋" w:hAnsi="仿宋" w:eastAsia="仿宋"/>
          <w:sz w:val="28"/>
          <w:szCs w:val="28"/>
        </w:rPr>
        <w:t>成绩和复试成绩加权后的成绩）和不录取考生姓名等信息。</w:t>
      </w:r>
    </w:p>
    <w:p>
      <w:pPr>
        <w:spacing w:line="276" w:lineRule="auto"/>
        <w:ind w:firstLine="560" w:firstLineChars="200"/>
        <w:rPr>
          <w:rFonts w:ascii="仿宋" w:hAnsi="仿宋" w:eastAsia="仿宋"/>
          <w:sz w:val="28"/>
          <w:szCs w:val="28"/>
        </w:rPr>
      </w:pPr>
      <w:r>
        <w:rPr>
          <w:rFonts w:hint="eastAsia" w:ascii="仿宋" w:hAnsi="仿宋" w:eastAsia="仿宋"/>
          <w:sz w:val="28"/>
          <w:szCs w:val="28"/>
        </w:rPr>
        <w:t>拟录取考生名单将在全校复试工作结束后，在同济大学研招网进行统一公示，请关注同济大学研究生招生网信息和“同济研招”官方微信推送。</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注意事项：</w:t>
      </w:r>
    </w:p>
    <w:p>
      <w:pPr>
        <w:pStyle w:val="13"/>
        <w:numPr>
          <w:ilvl w:val="0"/>
          <w:numId w:val="2"/>
        </w:numPr>
        <w:spacing w:line="276" w:lineRule="auto"/>
        <w:ind w:firstLineChars="0"/>
        <w:rPr>
          <w:rFonts w:ascii="仿宋" w:hAnsi="仿宋" w:eastAsia="仿宋"/>
          <w:sz w:val="28"/>
          <w:szCs w:val="28"/>
        </w:rPr>
      </w:pPr>
      <w:r>
        <w:rPr>
          <w:rFonts w:hint="eastAsia" w:ascii="仿宋" w:hAnsi="仿宋" w:eastAsia="仿宋"/>
          <w:sz w:val="28"/>
          <w:szCs w:val="28"/>
        </w:rPr>
        <w:t>资格复查：</w:t>
      </w:r>
    </w:p>
    <w:p>
      <w:pPr>
        <w:spacing w:line="276" w:lineRule="auto"/>
        <w:ind w:firstLine="560" w:firstLineChars="200"/>
        <w:rPr>
          <w:rFonts w:ascii="仿宋" w:hAnsi="仿宋" w:eastAsia="仿宋"/>
          <w:sz w:val="28"/>
          <w:szCs w:val="28"/>
          <w:lang w:val="de-AT"/>
        </w:rPr>
      </w:pPr>
      <w:r>
        <w:rPr>
          <w:rFonts w:hint="eastAsia" w:ascii="仿宋" w:hAnsi="仿宋" w:eastAsia="仿宋"/>
          <w:sz w:val="28"/>
          <w:szCs w:val="28"/>
        </w:rPr>
        <w:t>所有参加复试</w:t>
      </w:r>
      <w:r>
        <w:rPr>
          <w:rFonts w:hint="eastAsia" w:ascii="仿宋" w:hAnsi="仿宋" w:eastAsia="仿宋"/>
          <w:sz w:val="28"/>
          <w:szCs w:val="28"/>
          <w:lang w:val="de-AT"/>
        </w:rPr>
        <w:t>的考生参加综合考核前</w:t>
      </w:r>
      <w:r>
        <w:rPr>
          <w:rFonts w:hint="eastAsia" w:ascii="仿宋" w:hAnsi="仿宋" w:eastAsia="仿宋"/>
          <w:sz w:val="28"/>
          <w:szCs w:val="28"/>
          <w:lang w:val="de-AT" w:eastAsia="zh-CN"/>
        </w:rPr>
        <w:t>请携带有效居民身份证件、硕士学历和学位证书原件（单证硕士生只需携带硕士学位证书原件；应届硕士生凭《教育部学籍在线验证报告》；在境外获得硕士学位的考生提供教育部留学服务中心出具的认证书原件）</w:t>
      </w:r>
      <w:r>
        <w:rPr>
          <w:rFonts w:hint="eastAsia" w:ascii="仿宋" w:hAnsi="仿宋" w:eastAsia="仿宋"/>
          <w:sz w:val="28"/>
          <w:szCs w:val="28"/>
          <w:lang w:val="de-AT"/>
        </w:rPr>
        <w:t>先前往研究生院招生处进行报考资格复审。</w:t>
      </w:r>
      <w:r>
        <w:rPr>
          <w:rFonts w:hint="eastAsia" w:ascii="仿宋" w:hAnsi="仿宋" w:eastAsia="仿宋"/>
          <w:b/>
          <w:color w:val="FF0000"/>
          <w:sz w:val="28"/>
          <w:szCs w:val="28"/>
          <w:lang w:val="de-AT"/>
        </w:rPr>
        <w:t>没有打印准考证并加盖研招处公章的考生一律不准参加复试。</w:t>
      </w:r>
      <w:r>
        <w:rPr>
          <w:rFonts w:hint="eastAsia" w:ascii="仿宋" w:hAnsi="仿宋" w:eastAsia="仿宋"/>
          <w:sz w:val="28"/>
          <w:szCs w:val="28"/>
          <w:lang w:val="de-AT"/>
        </w:rPr>
        <w:t>具体时间和地点请查询同济大学研招网相关通知。</w:t>
      </w:r>
    </w:p>
    <w:p>
      <w:pPr>
        <w:pStyle w:val="13"/>
        <w:numPr>
          <w:ilvl w:val="0"/>
          <w:numId w:val="2"/>
        </w:numPr>
        <w:spacing w:line="276" w:lineRule="auto"/>
        <w:ind w:firstLineChars="0"/>
        <w:rPr>
          <w:rFonts w:ascii="仿宋" w:hAnsi="仿宋" w:eastAsia="仿宋"/>
          <w:sz w:val="28"/>
          <w:szCs w:val="28"/>
        </w:rPr>
      </w:pPr>
      <w:r>
        <w:rPr>
          <w:rFonts w:hint="eastAsia" w:ascii="仿宋" w:hAnsi="仿宋" w:eastAsia="仿宋"/>
          <w:sz w:val="28"/>
          <w:szCs w:val="28"/>
        </w:rPr>
        <w:t>体检：</w:t>
      </w:r>
    </w:p>
    <w:p>
      <w:pPr>
        <w:keepNext w:val="0"/>
        <w:keepLines w:val="0"/>
        <w:pageBreakBefore w:val="0"/>
        <w:kinsoku/>
        <w:wordWrap/>
        <w:overflowPunct/>
        <w:topLinePunct w:val="0"/>
        <w:autoSpaceDE/>
        <w:autoSpaceDN/>
        <w:bidi w:val="0"/>
        <w:spacing w:line="360" w:lineRule="auto"/>
        <w:ind w:right="0" w:rightChars="0" w:firstLine="560" w:firstLineChars="200"/>
        <w:jc w:val="both"/>
        <w:textAlignment w:val="auto"/>
        <w:outlineLvl w:val="9"/>
        <w:rPr>
          <w:rFonts w:ascii="仿宋" w:hAnsi="仿宋" w:eastAsia="仿宋"/>
          <w:sz w:val="28"/>
          <w:szCs w:val="28"/>
          <w:lang w:val="de-AT"/>
        </w:rPr>
      </w:pPr>
      <w:r>
        <w:rPr>
          <w:rFonts w:ascii="仿宋" w:hAnsi="仿宋" w:eastAsia="仿宋"/>
          <w:sz w:val="28"/>
          <w:szCs w:val="28"/>
          <w:lang w:val="de-AT"/>
        </w:rPr>
        <w:t>所有参加复试的考生均须参加体检，</w:t>
      </w:r>
      <w:r>
        <w:rPr>
          <w:rFonts w:hint="eastAsia" w:ascii="仿宋" w:hAnsi="仿宋" w:eastAsia="仿宋"/>
          <w:sz w:val="28"/>
          <w:szCs w:val="28"/>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卫生部办公厅关于普通高等学校招生学生入学身体检查取消乙肝项目检测有关问题的通知》（教学厅〔2010〕2号）进行。具体时间和地点请查询同济大学研招网相关通知。</w:t>
      </w:r>
    </w:p>
    <w:p>
      <w:pPr>
        <w:pStyle w:val="13"/>
        <w:keepNext w:val="0"/>
        <w:keepLines w:val="0"/>
        <w:pageBreakBefore w:val="0"/>
        <w:numPr>
          <w:ilvl w:val="0"/>
          <w:numId w:val="2"/>
        </w:numPr>
        <w:kinsoku/>
        <w:wordWrap/>
        <w:overflowPunct/>
        <w:topLinePunct w:val="0"/>
        <w:autoSpaceDE/>
        <w:autoSpaceDN/>
        <w:bidi w:val="0"/>
        <w:spacing w:line="360" w:lineRule="auto"/>
        <w:ind w:right="0" w:rightChars="0" w:firstLineChars="0"/>
        <w:jc w:val="both"/>
        <w:textAlignment w:val="auto"/>
        <w:outlineLvl w:val="9"/>
        <w:rPr>
          <w:rFonts w:ascii="仿宋" w:hAnsi="仿宋" w:eastAsia="仿宋"/>
          <w:sz w:val="28"/>
          <w:szCs w:val="28"/>
        </w:rPr>
      </w:pPr>
      <w:r>
        <w:rPr>
          <w:rFonts w:hint="eastAsia" w:ascii="仿宋" w:hAnsi="仿宋" w:eastAsia="仿宋"/>
          <w:sz w:val="28"/>
          <w:szCs w:val="28"/>
        </w:rPr>
        <w:t>以下情况不予录取：</w:t>
      </w:r>
    </w:p>
    <w:p>
      <w:pPr>
        <w:keepNext w:val="0"/>
        <w:keepLines w:val="0"/>
        <w:pageBreakBefore w:val="0"/>
        <w:widowControl/>
        <w:kinsoku/>
        <w:wordWrap/>
        <w:overflowPunct/>
        <w:topLinePunct w:val="0"/>
        <w:autoSpaceDE/>
        <w:autoSpaceDN/>
        <w:bidi w:val="0"/>
        <w:adjustRightInd w:val="0"/>
        <w:snapToGrid w:val="0"/>
        <w:spacing w:line="360" w:lineRule="auto"/>
        <w:ind w:left="480" w:right="0" w:rightChars="0" w:firstLine="280" w:firstLineChars="100"/>
        <w:jc w:val="both"/>
        <w:textAlignment w:val="auto"/>
        <w:outlineLvl w:val="9"/>
        <w:rPr>
          <w:rFonts w:ascii="仿宋" w:hAnsi="仿宋" w:eastAsia="仿宋"/>
          <w:sz w:val="28"/>
          <w:szCs w:val="28"/>
          <w:lang w:val="de-AT"/>
        </w:rPr>
      </w:pPr>
      <w:r>
        <w:rPr>
          <w:rFonts w:ascii="仿宋" w:hAnsi="仿宋" w:eastAsia="仿宋"/>
          <w:sz w:val="28"/>
          <w:szCs w:val="28"/>
          <w:lang w:val="de-AT"/>
        </w:rPr>
        <w:t>1)</w:t>
      </w:r>
      <w:r>
        <w:rPr>
          <w:rFonts w:hint="eastAsia" w:ascii="仿宋" w:hAnsi="仿宋" w:eastAsia="仿宋"/>
          <w:sz w:val="28"/>
          <w:szCs w:val="28"/>
          <w:lang w:val="de-AT"/>
        </w:rPr>
        <w:t>政审不合格者；</w:t>
      </w:r>
    </w:p>
    <w:p>
      <w:pPr>
        <w:keepNext w:val="0"/>
        <w:keepLines w:val="0"/>
        <w:pageBreakBefore w:val="0"/>
        <w:widowControl/>
        <w:kinsoku/>
        <w:wordWrap/>
        <w:overflowPunct/>
        <w:topLinePunct w:val="0"/>
        <w:autoSpaceDE/>
        <w:autoSpaceDN/>
        <w:bidi w:val="0"/>
        <w:adjustRightInd w:val="0"/>
        <w:snapToGrid w:val="0"/>
        <w:spacing w:line="360" w:lineRule="auto"/>
        <w:ind w:left="480" w:right="0" w:rightChars="0" w:firstLine="280" w:firstLineChars="100"/>
        <w:jc w:val="both"/>
        <w:textAlignment w:val="auto"/>
        <w:outlineLvl w:val="9"/>
        <w:rPr>
          <w:rFonts w:ascii="仿宋" w:hAnsi="仿宋" w:eastAsia="仿宋"/>
          <w:sz w:val="28"/>
          <w:szCs w:val="28"/>
          <w:lang w:val="de-AT"/>
        </w:rPr>
      </w:pPr>
      <w:r>
        <w:rPr>
          <w:rFonts w:ascii="仿宋" w:hAnsi="仿宋" w:eastAsia="仿宋"/>
          <w:sz w:val="28"/>
          <w:szCs w:val="28"/>
          <w:lang w:val="de-AT"/>
        </w:rPr>
        <w:t>2)</w:t>
      </w:r>
      <w:r>
        <w:rPr>
          <w:rFonts w:hint="eastAsia" w:ascii="仿宋" w:hAnsi="仿宋" w:eastAsia="仿宋"/>
          <w:sz w:val="28"/>
          <w:szCs w:val="28"/>
          <w:lang w:val="de-AT"/>
        </w:rPr>
        <w:t>材料审核成绩不合格;</w:t>
      </w:r>
    </w:p>
    <w:p>
      <w:pPr>
        <w:keepNext w:val="0"/>
        <w:keepLines w:val="0"/>
        <w:pageBreakBefore w:val="0"/>
        <w:widowControl/>
        <w:kinsoku/>
        <w:wordWrap/>
        <w:overflowPunct/>
        <w:topLinePunct w:val="0"/>
        <w:autoSpaceDE/>
        <w:autoSpaceDN/>
        <w:bidi w:val="0"/>
        <w:adjustRightInd w:val="0"/>
        <w:snapToGrid w:val="0"/>
        <w:spacing w:line="360" w:lineRule="auto"/>
        <w:ind w:left="480" w:right="0" w:rightChars="0" w:firstLine="280" w:firstLineChars="100"/>
        <w:jc w:val="both"/>
        <w:textAlignment w:val="auto"/>
        <w:outlineLvl w:val="9"/>
        <w:rPr>
          <w:rFonts w:ascii="仿宋" w:hAnsi="仿宋" w:eastAsia="仿宋"/>
          <w:sz w:val="28"/>
          <w:szCs w:val="28"/>
          <w:lang w:val="de-AT"/>
        </w:rPr>
      </w:pPr>
      <w:r>
        <w:rPr>
          <w:rFonts w:ascii="仿宋" w:hAnsi="仿宋" w:eastAsia="仿宋"/>
          <w:sz w:val="28"/>
          <w:szCs w:val="28"/>
          <w:lang w:val="de-AT"/>
        </w:rPr>
        <w:t>3)</w:t>
      </w:r>
      <w:r>
        <w:rPr>
          <w:rFonts w:hint="eastAsia" w:ascii="仿宋" w:hAnsi="仿宋" w:eastAsia="仿宋"/>
          <w:sz w:val="28"/>
          <w:szCs w:val="28"/>
          <w:lang w:val="de-AT"/>
        </w:rPr>
        <w:t>复试总成绩不合格者；</w:t>
      </w:r>
    </w:p>
    <w:p>
      <w:pPr>
        <w:keepNext w:val="0"/>
        <w:keepLines w:val="0"/>
        <w:pageBreakBefore w:val="0"/>
        <w:widowControl/>
        <w:kinsoku/>
        <w:wordWrap/>
        <w:overflowPunct/>
        <w:topLinePunct w:val="0"/>
        <w:autoSpaceDE/>
        <w:autoSpaceDN/>
        <w:bidi w:val="0"/>
        <w:adjustRightInd w:val="0"/>
        <w:snapToGrid w:val="0"/>
        <w:spacing w:line="360" w:lineRule="auto"/>
        <w:ind w:left="480" w:right="0" w:rightChars="0" w:firstLine="280" w:firstLineChars="100"/>
        <w:jc w:val="both"/>
        <w:textAlignment w:val="auto"/>
        <w:outlineLvl w:val="9"/>
        <w:rPr>
          <w:rFonts w:ascii="仿宋" w:hAnsi="仿宋" w:eastAsia="仿宋"/>
          <w:sz w:val="28"/>
          <w:szCs w:val="28"/>
          <w:lang w:val="de-AT"/>
        </w:rPr>
      </w:pPr>
      <w:r>
        <w:rPr>
          <w:rFonts w:hint="eastAsia" w:ascii="仿宋" w:hAnsi="仿宋" w:eastAsia="仿宋"/>
          <w:sz w:val="28"/>
          <w:szCs w:val="28"/>
          <w:lang w:val="de-AT"/>
        </w:rPr>
        <w:t>4)体检不合格者；</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咨询</w:t>
      </w:r>
    </w:p>
    <w:p>
      <w:pPr>
        <w:spacing w:line="276" w:lineRule="auto"/>
        <w:ind w:firstLine="560" w:firstLineChars="200"/>
        <w:rPr>
          <w:rFonts w:ascii="仿宋" w:hAnsi="仿宋" w:eastAsia="仿宋"/>
          <w:sz w:val="28"/>
          <w:szCs w:val="28"/>
        </w:rPr>
      </w:pPr>
      <w:r>
        <w:rPr>
          <w:rFonts w:hint="eastAsia" w:ascii="仿宋" w:hAnsi="仿宋" w:eastAsia="仿宋"/>
          <w:sz w:val="28"/>
          <w:szCs w:val="28"/>
        </w:rPr>
        <w:t>为增强复试录取工作透明度，学院特为考生设立咨询电话：021-</w:t>
      </w:r>
      <w:r>
        <w:rPr>
          <w:rFonts w:hint="eastAsia" w:ascii="仿宋" w:hAnsi="仿宋" w:eastAsia="仿宋"/>
          <w:sz w:val="28"/>
          <w:szCs w:val="28"/>
          <w:lang w:val="en-US" w:eastAsia="zh-CN"/>
        </w:rPr>
        <w:t>69589505</w:t>
      </w:r>
      <w:r>
        <w:rPr>
          <w:rFonts w:ascii="仿宋" w:hAnsi="仿宋" w:eastAsia="仿宋"/>
          <w:sz w:val="28"/>
          <w:szCs w:val="28"/>
        </w:rPr>
        <w:t>，咨询邮箱：</w:t>
      </w:r>
      <w:r>
        <w:rPr>
          <w:rFonts w:hint="eastAsia" w:ascii="仿宋" w:hAnsi="仿宋" w:eastAsia="仿宋"/>
          <w:sz w:val="28"/>
          <w:szCs w:val="28"/>
          <w:lang w:val="en-US" w:eastAsia="zh-CN"/>
        </w:rPr>
        <w:t>wangxiao@tongji.edu.cn</w:t>
      </w:r>
      <w:r>
        <w:rPr>
          <w:rFonts w:hint="eastAsia" w:ascii="仿宋" w:hAnsi="仿宋" w:eastAsia="仿宋"/>
          <w:sz w:val="28"/>
          <w:szCs w:val="28"/>
        </w:rPr>
        <w:t>。</w:t>
      </w:r>
    </w:p>
    <w:p>
      <w:pPr>
        <w:spacing w:line="276" w:lineRule="auto"/>
        <w:rPr>
          <w:rFonts w:ascii="仿宋" w:hAnsi="仿宋" w:eastAsia="仿宋"/>
          <w:b/>
          <w:sz w:val="28"/>
          <w:szCs w:val="28"/>
        </w:rPr>
      </w:pPr>
      <w:r>
        <w:rPr>
          <w:rFonts w:hint="eastAsia" w:ascii="仿宋" w:hAnsi="仿宋" w:eastAsia="仿宋"/>
          <w:b/>
          <w:sz w:val="28"/>
          <w:szCs w:val="28"/>
        </w:rPr>
        <w:t>九、申述与投诉</w:t>
      </w:r>
    </w:p>
    <w:p>
      <w:pPr>
        <w:spacing w:line="276" w:lineRule="auto"/>
        <w:ind w:firstLine="560" w:firstLineChars="200"/>
        <w:rPr>
          <w:rFonts w:ascii="仿宋" w:hAnsi="仿宋" w:eastAsia="仿宋"/>
          <w:sz w:val="28"/>
          <w:szCs w:val="28"/>
        </w:rPr>
      </w:pPr>
      <w:r>
        <w:rPr>
          <w:rFonts w:hint="eastAsia" w:ascii="仿宋" w:hAnsi="仿宋" w:eastAsia="仿宋"/>
          <w:sz w:val="28"/>
          <w:szCs w:val="28"/>
        </w:rPr>
        <w:t>如对我院博士生复试录取结果或过程有异议，可先通过上述咨询电话或邮箱进行申述。如对申述结果不认可，可向我院纪委投诉，投诉邮箱：qczhou@tongji.edu.cn</w:t>
      </w:r>
      <w:r>
        <w:rPr>
          <w:rFonts w:ascii="仿宋" w:hAnsi="仿宋" w:eastAsia="仿宋"/>
          <w:sz w:val="28"/>
          <w:szCs w:val="28"/>
        </w:rPr>
        <w:t>。</w:t>
      </w:r>
    </w:p>
    <w:p>
      <w:pPr>
        <w:spacing w:line="276" w:lineRule="auto"/>
        <w:ind w:firstLine="560" w:firstLineChars="200"/>
        <w:rPr>
          <w:rFonts w:ascii="仿宋" w:hAnsi="仿宋" w:eastAsia="仿宋"/>
          <w:sz w:val="28"/>
          <w:szCs w:val="28"/>
        </w:rPr>
      </w:pPr>
      <w:r>
        <w:rPr>
          <w:rFonts w:hint="eastAsia" w:ascii="仿宋" w:hAnsi="仿宋" w:eastAsia="仿宋"/>
          <w:sz w:val="28"/>
          <w:szCs w:val="28"/>
        </w:rPr>
        <w:t>经上述流程后，如对学院的处理结果依然不满意，可向学校监察处投诉，投诉邮箱：jcc</w:t>
      </w:r>
      <w:r>
        <w:rPr>
          <w:rFonts w:ascii="仿宋" w:hAnsi="仿宋" w:eastAsia="仿宋"/>
          <w:sz w:val="28"/>
          <w:szCs w:val="28"/>
        </w:rPr>
        <w:t>@tongji.edu.cn</w:t>
      </w:r>
    </w:p>
    <w:p>
      <w:pPr>
        <w:spacing w:line="276" w:lineRule="auto"/>
        <w:ind w:firstLine="560" w:firstLineChars="200"/>
        <w:rPr>
          <w:rFonts w:ascii="仿宋" w:hAnsi="仿宋" w:eastAsia="仿宋"/>
          <w:sz w:val="28"/>
          <w:szCs w:val="28"/>
        </w:rPr>
      </w:pPr>
    </w:p>
    <w:p>
      <w:pPr>
        <w:spacing w:line="276" w:lineRule="auto"/>
        <w:ind w:firstLine="560" w:firstLineChars="200"/>
        <w:jc w:val="right"/>
        <w:rPr>
          <w:rFonts w:hint="eastAsia" w:ascii="仿宋" w:hAnsi="仿宋" w:eastAsia="仿宋"/>
          <w:sz w:val="28"/>
          <w:szCs w:val="28"/>
          <w:lang w:eastAsia="zh-CN"/>
        </w:rPr>
      </w:pPr>
      <w:r>
        <w:rPr>
          <w:rFonts w:hint="eastAsia" w:ascii="仿宋" w:hAnsi="仿宋" w:eastAsia="仿宋"/>
          <w:sz w:val="28"/>
          <w:szCs w:val="28"/>
          <w:lang w:eastAsia="zh-CN"/>
        </w:rPr>
        <w:t>机械与能源工程学院</w:t>
      </w:r>
    </w:p>
    <w:p>
      <w:pPr>
        <w:spacing w:line="276" w:lineRule="auto"/>
        <w:ind w:firstLine="560" w:firstLineChars="200"/>
        <w:jc w:val="right"/>
        <w:rPr>
          <w:rFonts w:hint="eastAsia" w:ascii="仿宋" w:hAnsi="仿宋" w:eastAsia="仿宋"/>
          <w:sz w:val="28"/>
          <w:szCs w:val="28"/>
          <w:lang w:val="en-US" w:eastAsia="zh-CN"/>
        </w:rPr>
      </w:pPr>
      <w:r>
        <w:rPr>
          <w:rFonts w:hint="eastAsia" w:ascii="仿宋" w:hAnsi="仿宋" w:eastAsia="仿宋"/>
          <w:sz w:val="28"/>
          <w:szCs w:val="28"/>
          <w:lang w:val="en-US" w:eastAsia="zh-CN"/>
        </w:rPr>
        <w:t>2018-03-05</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797"/>
    <w:multiLevelType w:val="multilevel"/>
    <w:tmpl w:val="42306797"/>
    <w:lvl w:ilvl="0" w:tentative="0">
      <w:start w:val="1"/>
      <w:numFmt w:val="chineseCountingThousand"/>
      <w:lvlText w:val="%1、"/>
      <w:lvlJc w:val="left"/>
      <w:pPr>
        <w:ind w:left="420" w:hanging="420"/>
      </w:pPr>
      <w:rPr>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F07812"/>
    <w:multiLevelType w:val="multilevel"/>
    <w:tmpl w:val="77F0781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AF9"/>
    <w:rsid w:val="0002669C"/>
    <w:rsid w:val="000348B2"/>
    <w:rsid w:val="00042621"/>
    <w:rsid w:val="00053120"/>
    <w:rsid w:val="00061AD4"/>
    <w:rsid w:val="00072D92"/>
    <w:rsid w:val="000F3889"/>
    <w:rsid w:val="000F7C4C"/>
    <w:rsid w:val="0013228D"/>
    <w:rsid w:val="00135FEA"/>
    <w:rsid w:val="001A0902"/>
    <w:rsid w:val="001B5858"/>
    <w:rsid w:val="00251EB5"/>
    <w:rsid w:val="00272047"/>
    <w:rsid w:val="00273933"/>
    <w:rsid w:val="002B62C8"/>
    <w:rsid w:val="002E274F"/>
    <w:rsid w:val="002E54F2"/>
    <w:rsid w:val="0030048E"/>
    <w:rsid w:val="00306EC6"/>
    <w:rsid w:val="003176F1"/>
    <w:rsid w:val="00362FC1"/>
    <w:rsid w:val="0036563A"/>
    <w:rsid w:val="003E71EF"/>
    <w:rsid w:val="003F1BCA"/>
    <w:rsid w:val="003F5E74"/>
    <w:rsid w:val="00403B51"/>
    <w:rsid w:val="00446A77"/>
    <w:rsid w:val="004A1D37"/>
    <w:rsid w:val="004E55DB"/>
    <w:rsid w:val="00575719"/>
    <w:rsid w:val="005A7BB6"/>
    <w:rsid w:val="00605072"/>
    <w:rsid w:val="006125EC"/>
    <w:rsid w:val="00637959"/>
    <w:rsid w:val="00656321"/>
    <w:rsid w:val="006A0451"/>
    <w:rsid w:val="006A6267"/>
    <w:rsid w:val="006D45BF"/>
    <w:rsid w:val="006F4D0A"/>
    <w:rsid w:val="0070445F"/>
    <w:rsid w:val="00731596"/>
    <w:rsid w:val="007475AD"/>
    <w:rsid w:val="00780AF5"/>
    <w:rsid w:val="00806F05"/>
    <w:rsid w:val="00831DB0"/>
    <w:rsid w:val="00837CE3"/>
    <w:rsid w:val="00881C11"/>
    <w:rsid w:val="008A4AE9"/>
    <w:rsid w:val="00995C6E"/>
    <w:rsid w:val="009A5207"/>
    <w:rsid w:val="009B60DD"/>
    <w:rsid w:val="00A35599"/>
    <w:rsid w:val="00A37D46"/>
    <w:rsid w:val="00A57831"/>
    <w:rsid w:val="00AA1A65"/>
    <w:rsid w:val="00AB635C"/>
    <w:rsid w:val="00AC7E2B"/>
    <w:rsid w:val="00AD393C"/>
    <w:rsid w:val="00AD6370"/>
    <w:rsid w:val="00AF7EF2"/>
    <w:rsid w:val="00B14413"/>
    <w:rsid w:val="00B36F4D"/>
    <w:rsid w:val="00B46A62"/>
    <w:rsid w:val="00B56D68"/>
    <w:rsid w:val="00B66631"/>
    <w:rsid w:val="00BB506C"/>
    <w:rsid w:val="00BD1E40"/>
    <w:rsid w:val="00BE6E5D"/>
    <w:rsid w:val="00BF13FC"/>
    <w:rsid w:val="00C55D66"/>
    <w:rsid w:val="00C66A8A"/>
    <w:rsid w:val="00CC5063"/>
    <w:rsid w:val="00D16763"/>
    <w:rsid w:val="00DB01C5"/>
    <w:rsid w:val="00DF29CA"/>
    <w:rsid w:val="00E2131F"/>
    <w:rsid w:val="00E4082A"/>
    <w:rsid w:val="00E53440"/>
    <w:rsid w:val="00E67E0E"/>
    <w:rsid w:val="00F00119"/>
    <w:rsid w:val="00F0315A"/>
    <w:rsid w:val="00F11706"/>
    <w:rsid w:val="00F1567B"/>
    <w:rsid w:val="00F23DC3"/>
    <w:rsid w:val="0AD30198"/>
    <w:rsid w:val="0CFC218C"/>
    <w:rsid w:val="16B528B2"/>
    <w:rsid w:val="341B2118"/>
    <w:rsid w:val="3C0B30CA"/>
    <w:rsid w:val="5530182F"/>
    <w:rsid w:val="57E210C7"/>
    <w:rsid w:val="7432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7"/>
    <w:link w:val="3"/>
    <w:semiHidden/>
    <w:qFormat/>
    <w:uiPriority w:val="99"/>
  </w:style>
  <w:style w:type="character" w:customStyle="1" w:styleId="15">
    <w:name w:val="批注主题 Char"/>
    <w:basedOn w:val="14"/>
    <w:link w:val="2"/>
    <w:semiHidden/>
    <w:qFormat/>
    <w:uiPriority w:val="99"/>
    <w:rPr>
      <w:b/>
      <w:bCs/>
    </w:rPr>
  </w:style>
  <w:style w:type="character" w:customStyle="1" w:styleId="16">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56569-623C-47AE-B799-8845E1B504F7}">
  <ds:schemaRefs/>
</ds:datastoreItem>
</file>

<file path=docProps/app.xml><?xml version="1.0" encoding="utf-8"?>
<Properties xmlns="http://schemas.openxmlformats.org/officeDocument/2006/extended-properties" xmlns:vt="http://schemas.openxmlformats.org/officeDocument/2006/docPropsVTypes">
  <Template>Normal</Template>
  <Pages>2</Pages>
  <Words>444</Words>
  <Characters>458</Characters>
  <Lines>24</Lines>
  <Paragraphs>13</Paragraphs>
  <ScaleCrop>false</ScaleCrop>
  <LinksUpToDate>false</LinksUpToDate>
  <CharactersWithSpaces>889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2015-04-13T06:25:00Z</dcterms:created>
  <dc:creator>dell</dc:creator>
  <cp:lastModifiedBy>ivyxiao</cp:lastModifiedBy>
  <dcterms:modified xsi:type="dcterms:W3CDTF">2018-03-05T05:17:57Z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